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CEAF" w14:textId="57FC5568" w:rsidR="00AB439F" w:rsidRPr="00484DBF" w:rsidRDefault="00AB439F" w:rsidP="00AB439F">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#104</w:t>
      </w:r>
      <w:r w:rsidRPr="00484DBF">
        <w:rPr>
          <w:rFonts w:cs="Arial"/>
          <w:bCs/>
          <w:noProof w:val="0"/>
          <w:sz w:val="24"/>
          <w:szCs w:val="24"/>
        </w:rPr>
        <w:tab/>
      </w:r>
      <w:r w:rsidRPr="00F8519C">
        <w:rPr>
          <w:rFonts w:cs="Arial"/>
          <w:bCs/>
          <w:noProof w:val="0"/>
          <w:sz w:val="24"/>
          <w:szCs w:val="24"/>
        </w:rPr>
        <w:t>R3-</w:t>
      </w:r>
      <w:r>
        <w:rPr>
          <w:rFonts w:cs="Arial"/>
          <w:bCs/>
          <w:noProof w:val="0"/>
          <w:sz w:val="24"/>
          <w:szCs w:val="24"/>
        </w:rPr>
        <w:t>18</w:t>
      </w:r>
      <w:r w:rsidR="006F61D5">
        <w:rPr>
          <w:rFonts w:cs="Arial"/>
          <w:bCs/>
          <w:noProof w:val="0"/>
          <w:sz w:val="24"/>
          <w:szCs w:val="24"/>
        </w:rPr>
        <w:t>2415</w:t>
      </w:r>
    </w:p>
    <w:bookmarkEnd w:id="0"/>
    <w:p w14:paraId="52E9E84A" w14:textId="77777777" w:rsidR="00AB439F" w:rsidRPr="00484DBF" w:rsidRDefault="00AB439F" w:rsidP="00AB439F">
      <w:pPr>
        <w:pStyle w:val="Header"/>
        <w:tabs>
          <w:tab w:val="left" w:pos="2410"/>
        </w:tabs>
        <w:rPr>
          <w:rFonts w:eastAsia="MS Mincho" w:cs="Arial"/>
          <w:sz w:val="24"/>
          <w:szCs w:val="24"/>
          <w:lang w:val="en-US"/>
        </w:rPr>
      </w:pPr>
      <w:r>
        <w:rPr>
          <w:rFonts w:eastAsia="MS Mincho" w:cs="Arial"/>
          <w:sz w:val="24"/>
          <w:szCs w:val="24"/>
          <w:lang w:val="en-US"/>
        </w:rPr>
        <w:t>Reno, Nevada, USA, 13-17 May 2019</w:t>
      </w:r>
    </w:p>
    <w:p w14:paraId="2F96B0BD" w14:textId="77777777" w:rsidR="002F2360" w:rsidRPr="00813CDA" w:rsidRDefault="002F2360" w:rsidP="002F2360">
      <w:pPr>
        <w:pStyle w:val="Header"/>
        <w:tabs>
          <w:tab w:val="left" w:pos="2410"/>
        </w:tabs>
        <w:rPr>
          <w:bCs/>
          <w:noProof w:val="0"/>
          <w:sz w:val="24"/>
          <w:lang w:val="en-US"/>
        </w:rPr>
      </w:pPr>
    </w:p>
    <w:p w14:paraId="430718D4" w14:textId="57F4E845"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6F61D5">
        <w:rPr>
          <w:rFonts w:cs="Arial"/>
          <w:b/>
          <w:bCs/>
          <w:sz w:val="24"/>
        </w:rPr>
        <w:t>15.1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0299AD61"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6F61D5" w:rsidRPr="006F61D5">
        <w:rPr>
          <w:rFonts w:ascii="Arial" w:hAnsi="Arial" w:cs="Arial"/>
          <w:b/>
          <w:bCs/>
          <w:sz w:val="24"/>
        </w:rPr>
        <w:t>Implementation of the Conditional HO in LTE</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70D200B4" w14:textId="3F1B8F14" w:rsidR="008E4DCF" w:rsidRDefault="00FB4B7E" w:rsidP="00AB30AE">
      <w:r>
        <w:t xml:space="preserve">At RAN2 #105-bis meeting, </w:t>
      </w:r>
      <w:proofErr w:type="gramStart"/>
      <w:r>
        <w:t>an</w:t>
      </w:r>
      <w:proofErr w:type="gramEnd"/>
      <w:r>
        <w:t xml:space="preserve"> LS to RAN3 was agreed [1]. </w:t>
      </w:r>
      <w:r w:rsidR="008E4DCF">
        <w:t xml:space="preserve">This LS gives RAN3 clear guidance concerning the scope of work. In [2], we propose to focus on 4 </w:t>
      </w:r>
      <w:r w:rsidR="00757C6F">
        <w:t>enhancements</w:t>
      </w:r>
      <w:r w:rsidR="008E4DCF">
        <w:t>:</w:t>
      </w:r>
    </w:p>
    <w:p w14:paraId="1336FAC4" w14:textId="77777777" w:rsidR="008E4DCF" w:rsidRPr="002E0B99" w:rsidRDefault="008E4DCF" w:rsidP="008E4DCF">
      <w:pPr>
        <w:pStyle w:val="StyleListParagraph10pt"/>
        <w:numPr>
          <w:ilvl w:val="0"/>
          <w:numId w:val="26"/>
        </w:numPr>
        <w:rPr>
          <w:rFonts w:eastAsia="Yu Mincho"/>
        </w:rPr>
      </w:pPr>
      <w:bookmarkStart w:id="1" w:name="_Toc474247438"/>
      <w:r w:rsidRPr="002E0B99">
        <w:rPr>
          <w:rFonts w:eastAsia="Yu Mincho"/>
        </w:rPr>
        <w:t>The target shall be able to differentiate a regular HO request from the CHO request;</w:t>
      </w:r>
    </w:p>
    <w:p w14:paraId="3F3EDBB0" w14:textId="77777777" w:rsidR="008E4DCF" w:rsidRPr="002E0B99" w:rsidRDefault="008E4DCF" w:rsidP="008E4DCF">
      <w:pPr>
        <w:pStyle w:val="StyleListParagraph10pt"/>
        <w:numPr>
          <w:ilvl w:val="0"/>
          <w:numId w:val="26"/>
        </w:numPr>
        <w:rPr>
          <w:rFonts w:eastAsia="Yu Mincho"/>
        </w:rPr>
      </w:pPr>
      <w:r>
        <w:rPr>
          <w:rFonts w:eastAsia="Yu Mincho"/>
        </w:rPr>
        <w:t>The source shall be able to inform the target about changes of the already accepted CHO request, including cancelling it altogether.</w:t>
      </w:r>
    </w:p>
    <w:p w14:paraId="697EC866" w14:textId="77777777" w:rsidR="008E4DCF" w:rsidRDefault="008E4DCF" w:rsidP="008E4DCF">
      <w:pPr>
        <w:pStyle w:val="StyleListParagraph10pt"/>
        <w:numPr>
          <w:ilvl w:val="0"/>
          <w:numId w:val="26"/>
        </w:numPr>
        <w:rPr>
          <w:rFonts w:eastAsia="Yu Mincho"/>
        </w:rPr>
      </w:pPr>
      <w:r w:rsidRPr="002E0B99">
        <w:rPr>
          <w:rFonts w:eastAsia="Yu Mincho"/>
        </w:rPr>
        <w:t>The target shall be able to cancel already accepted CHO request;</w:t>
      </w:r>
    </w:p>
    <w:p w14:paraId="3FDAEC9D" w14:textId="77777777" w:rsidR="008E4DCF" w:rsidRPr="002E0B99" w:rsidRDefault="008E4DCF" w:rsidP="008E4DCF">
      <w:pPr>
        <w:pStyle w:val="StyleListParagraph10pt"/>
        <w:numPr>
          <w:ilvl w:val="0"/>
          <w:numId w:val="26"/>
        </w:numPr>
        <w:rPr>
          <w:rFonts w:eastAsia="Yu Mincho"/>
        </w:rPr>
      </w:pPr>
      <w:r w:rsidRPr="002E0B99">
        <w:rPr>
          <w:rFonts w:eastAsia="Yu Mincho"/>
        </w:rPr>
        <w:t>The source shall be informed as soon as the UE starts the access procedure;</w:t>
      </w:r>
    </w:p>
    <w:p w14:paraId="12FE0758" w14:textId="42331947" w:rsidR="002864B2" w:rsidRDefault="008E4DCF" w:rsidP="0037722C">
      <w:pPr>
        <w:rPr>
          <w:lang w:val="en-US"/>
        </w:rPr>
      </w:pPr>
      <w:r>
        <w:rPr>
          <w:lang w:val="en-US"/>
        </w:rPr>
        <w:t xml:space="preserve">In this paper, </w:t>
      </w:r>
      <w:r w:rsidR="00746920">
        <w:rPr>
          <w:lang w:val="en-US"/>
        </w:rPr>
        <w:t xml:space="preserve">we </w:t>
      </w:r>
      <w:proofErr w:type="spellStart"/>
      <w:r w:rsidR="00746920">
        <w:rPr>
          <w:lang w:val="en-US"/>
        </w:rPr>
        <w:t>analyse</w:t>
      </w:r>
      <w:proofErr w:type="spellEnd"/>
      <w:r w:rsidR="00746920">
        <w:rPr>
          <w:lang w:val="en-US"/>
        </w:rPr>
        <w:t xml:space="preserve"> how those enhancements can be implemented in X2AP.</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p w14:paraId="1518D9E5" w14:textId="107F2DED" w:rsidR="00862A45" w:rsidRDefault="00CF23EE" w:rsidP="008B56D0">
      <w:bookmarkStart w:id="2" w:name="_Toc474247441"/>
      <w:bookmarkEnd w:id="1"/>
      <w:r>
        <w:t xml:space="preserve">The classic handover is signalled with the Handover Preparation procedure, which includes HANDOVER REQUEST, </w:t>
      </w:r>
      <w:r w:rsidRPr="00CF23EE">
        <w:t>HANDOVER REQUEST ACKNOWLEDGE</w:t>
      </w:r>
      <w:r>
        <w:t xml:space="preserve"> and </w:t>
      </w:r>
      <w:r w:rsidRPr="00CF23EE">
        <w:t>HANDOVER PREPARATION FAILURE</w:t>
      </w:r>
      <w:r>
        <w:t xml:space="preserve">. These messages enable the source to transfer all the information relevant for resource allocation at the target side, while the target to provide the HO Command to the UE. For CHO, </w:t>
      </w:r>
      <w:proofErr w:type="gramStart"/>
      <w:r>
        <w:t>all of</w:t>
      </w:r>
      <w:proofErr w:type="gramEnd"/>
      <w:r>
        <w:t xml:space="preserve"> the information is relevant, too. </w:t>
      </w:r>
    </w:p>
    <w:p w14:paraId="68E914D3" w14:textId="1B6CE0A1" w:rsidR="00CF23EE" w:rsidRPr="00A4702F" w:rsidRDefault="00CF23EE" w:rsidP="008B56D0">
      <w:pPr>
        <w:rPr>
          <w:b/>
        </w:rPr>
      </w:pPr>
      <w:r w:rsidRPr="00A4702F">
        <w:rPr>
          <w:b/>
        </w:rPr>
        <w:t xml:space="preserve">Proposal 1: </w:t>
      </w:r>
      <w:bookmarkStart w:id="3" w:name="OLE_LINK1"/>
      <w:r w:rsidRPr="00A4702F">
        <w:rPr>
          <w:b/>
        </w:rPr>
        <w:t>For triggering of the CHO, it is proposed to reuse the existing Hando</w:t>
      </w:r>
      <w:r w:rsidR="00FC144E" w:rsidRPr="00A4702F">
        <w:rPr>
          <w:b/>
        </w:rPr>
        <w:t>ver Preparation procedure. Additional information shall be added to enable the target to tell legacy HO from a CHO.</w:t>
      </w:r>
      <w:bookmarkEnd w:id="3"/>
    </w:p>
    <w:p w14:paraId="66F8EC54" w14:textId="34D67D36" w:rsidR="00FC144E" w:rsidRDefault="00FC144E" w:rsidP="008B56D0">
      <w:r>
        <w:t xml:space="preserve">Any changes to the UE context that affect the resource allocation shall be made known to the target. Since such changes amend the UE context, the target must be provided with the new one. Therefore, effectively, amendment to the accepted CHO request requires providing a new request. </w:t>
      </w:r>
      <w:r w:rsidR="00D30D41">
        <w:t xml:space="preserve">The only </w:t>
      </w:r>
      <w:r w:rsidR="00852A4B">
        <w:t>part, which requires consideration is handling of the UE IDs: following other HO-related procedures, it would be good if such corrective HO request contains both, source’s and target’s UE IDs. The latter should then be added, but can also serve as a “flag” to indicate the request is a change to already accepted HO.</w:t>
      </w:r>
    </w:p>
    <w:bookmarkEnd w:id="2"/>
    <w:p w14:paraId="3A8CC2CD" w14:textId="3AF23743" w:rsidR="00FC144E" w:rsidRPr="00A4702F" w:rsidRDefault="00FC144E" w:rsidP="00FC144E">
      <w:pPr>
        <w:rPr>
          <w:b/>
        </w:rPr>
      </w:pPr>
      <w:r w:rsidRPr="00A4702F">
        <w:rPr>
          <w:b/>
        </w:rPr>
        <w:t xml:space="preserve">Proposal 2: </w:t>
      </w:r>
      <w:bookmarkStart w:id="4" w:name="OLE_LINK2"/>
      <w:r w:rsidRPr="00A4702F">
        <w:rPr>
          <w:b/>
        </w:rPr>
        <w:t>For amending</w:t>
      </w:r>
      <w:r w:rsidR="00076A45" w:rsidRPr="00A4702F">
        <w:rPr>
          <w:b/>
        </w:rPr>
        <w:t xml:space="preserve"> of</w:t>
      </w:r>
      <w:r w:rsidRPr="00A4702F">
        <w:rPr>
          <w:b/>
        </w:rPr>
        <w:t xml:space="preserve"> the accepted CHO, it is proposed to reuse the existing Handover Preparation procedure, too. The target</w:t>
      </w:r>
      <w:r w:rsidR="00852A4B">
        <w:rPr>
          <w:b/>
        </w:rPr>
        <w:t>’s UE ID shall be added as an optional IE to the HO REQUEST message</w:t>
      </w:r>
      <w:r w:rsidRPr="00A4702F">
        <w:rPr>
          <w:b/>
        </w:rPr>
        <w:t>.</w:t>
      </w:r>
      <w:bookmarkEnd w:id="4"/>
    </w:p>
    <w:p w14:paraId="4E269869" w14:textId="1DA6AAFE" w:rsidR="00012ED2" w:rsidRDefault="009004C7" w:rsidP="00FC144E">
      <w:r>
        <w:t>In X2AP, there is already a procedure to cancel already accepted HO: Handover Cancel, which is based on a single class-2 message HANDOVER CANCEL. This message may be sent from the source to the target. Since cancellation of the CHO is in principle the same as in case of legacy HO (release of the resources at the target side), this message seems applicable to the CHO as-is.</w:t>
      </w:r>
    </w:p>
    <w:p w14:paraId="48F13A83" w14:textId="793ED6B5" w:rsidR="009004C7" w:rsidRPr="00A4702F" w:rsidRDefault="009004C7" w:rsidP="009004C7">
      <w:pPr>
        <w:rPr>
          <w:b/>
        </w:rPr>
      </w:pPr>
      <w:r w:rsidRPr="00A4702F">
        <w:rPr>
          <w:b/>
        </w:rPr>
        <w:t xml:space="preserve">Proposal 3: </w:t>
      </w:r>
      <w:bookmarkStart w:id="5" w:name="OLE_LINK3"/>
      <w:r w:rsidRPr="00A4702F">
        <w:rPr>
          <w:b/>
        </w:rPr>
        <w:t>For cancelling of the accepted CHO</w:t>
      </w:r>
      <w:r w:rsidR="00076A45" w:rsidRPr="00A4702F">
        <w:rPr>
          <w:b/>
        </w:rPr>
        <w:t xml:space="preserve"> from the source side</w:t>
      </w:r>
      <w:r w:rsidRPr="00A4702F">
        <w:rPr>
          <w:b/>
        </w:rPr>
        <w:t xml:space="preserve">, it is proposed to reuse the existing Handover </w:t>
      </w:r>
      <w:r w:rsidR="00076A45" w:rsidRPr="00A4702F">
        <w:rPr>
          <w:b/>
        </w:rPr>
        <w:t>Cancel</w:t>
      </w:r>
      <w:r w:rsidRPr="00A4702F">
        <w:rPr>
          <w:b/>
        </w:rPr>
        <w:t xml:space="preserve"> procedure</w:t>
      </w:r>
      <w:r w:rsidR="00076A45" w:rsidRPr="00A4702F">
        <w:rPr>
          <w:b/>
        </w:rPr>
        <w:t xml:space="preserve"> without changes</w:t>
      </w:r>
      <w:r w:rsidRPr="00A4702F">
        <w:rPr>
          <w:b/>
        </w:rPr>
        <w:t>.</w:t>
      </w:r>
      <w:bookmarkEnd w:id="5"/>
    </w:p>
    <w:p w14:paraId="3B8A1BCE" w14:textId="3FB05A45" w:rsidR="00076A45" w:rsidRDefault="00076A45" w:rsidP="009004C7">
      <w:r>
        <w:t xml:space="preserve">The situation is slightly different if the target must cancel already accepted CHO. The existing Handover Cancel may be sent from the source only. However, target-initiated cancel does not require any additional information as compared to the existing procedure. There is even no issue related to the backward-compatibility: an eNB that does not support CHO will not ever trigger it, so there will not be any situation where it will receive HANDOVER CANCEL unexpectedly.  </w:t>
      </w:r>
    </w:p>
    <w:p w14:paraId="2DDCBF42" w14:textId="7ABFE7FE" w:rsidR="00076A45" w:rsidRPr="00A4702F" w:rsidRDefault="00076A45" w:rsidP="00076A45">
      <w:pPr>
        <w:rPr>
          <w:b/>
        </w:rPr>
      </w:pPr>
      <w:r w:rsidRPr="00A4702F">
        <w:rPr>
          <w:b/>
        </w:rPr>
        <w:lastRenderedPageBreak/>
        <w:t xml:space="preserve">Proposal 4: </w:t>
      </w:r>
      <w:bookmarkStart w:id="6" w:name="OLE_LINK4"/>
      <w:r w:rsidRPr="00A4702F">
        <w:rPr>
          <w:b/>
        </w:rPr>
        <w:t>For cancelling of the accepted CHO from the target side, it is proposed to reuse the existing Handover Cancel procedure, too. The procedure shall be extended so that it can be initiated by the target in case of CHO, too.</w:t>
      </w:r>
      <w:bookmarkEnd w:id="6"/>
    </w:p>
    <w:p w14:paraId="6FE4C4D4" w14:textId="066533B6" w:rsidR="00A4702F" w:rsidRDefault="00A4702F" w:rsidP="00076A45">
      <w:r>
        <w:t>Finally, the last signalling aspect to address, is the information about the UE arriving to the target, so that the data forwarding may start. In legacy HO, there is no corresponding signalling, because the UE is expected to start accessing the target right after receiving the HO Command. On the other hand, UE Context Release procedure is too late and can’t really be redefined so that it is sent sooner (it is still needed after the HO is completed). Therefore, the most reasonable seems defining a new class-2 message to inform the source about the start of UE access.</w:t>
      </w:r>
    </w:p>
    <w:p w14:paraId="794652E1" w14:textId="2F34006C" w:rsidR="00A4702F" w:rsidRPr="00A4702F" w:rsidRDefault="00A4702F" w:rsidP="00A4702F">
      <w:pPr>
        <w:rPr>
          <w:b/>
        </w:rPr>
      </w:pPr>
      <w:r w:rsidRPr="00A4702F">
        <w:rPr>
          <w:b/>
        </w:rPr>
        <w:t xml:space="preserve">Proposal 5: </w:t>
      </w:r>
      <w:bookmarkStart w:id="7" w:name="OLE_LINK5"/>
      <w:r w:rsidRPr="00A4702F">
        <w:rPr>
          <w:b/>
        </w:rPr>
        <w:t>For informing the source that data forwarding may start, a new class-2 procedure shall be defined.</w:t>
      </w:r>
      <w:bookmarkEnd w:id="7"/>
    </w:p>
    <w:p w14:paraId="28E42E52" w14:textId="77777777" w:rsidR="000F16C4" w:rsidRPr="005F10C3" w:rsidRDefault="00CD2620" w:rsidP="00E00CEF">
      <w:pPr>
        <w:pStyle w:val="Heading1"/>
      </w:pPr>
      <w:r w:rsidRPr="005F10C3">
        <w:t>3</w:t>
      </w:r>
      <w:r w:rsidR="000F16C4" w:rsidRPr="005F10C3">
        <w:tab/>
      </w:r>
      <w:r w:rsidRPr="005F10C3">
        <w:t>Conclusions</w:t>
      </w:r>
    </w:p>
    <w:p w14:paraId="37941D94" w14:textId="665B8442" w:rsidR="009F482E" w:rsidRDefault="00163118" w:rsidP="009F482E">
      <w:pPr>
        <w:jc w:val="both"/>
        <w:rPr>
          <w:bCs/>
          <w:lang w:val="en-US"/>
        </w:rPr>
      </w:pPr>
      <w:proofErr w:type="gramStart"/>
      <w:r>
        <w:rPr>
          <w:bCs/>
          <w:lang w:val="en-US"/>
        </w:rPr>
        <w:t>In order to</w:t>
      </w:r>
      <w:proofErr w:type="gramEnd"/>
      <w:r>
        <w:rPr>
          <w:bCs/>
          <w:lang w:val="en-US"/>
        </w:rPr>
        <w:t xml:space="preserve"> implement the changes for mobility enhancements in X2AP, we propose as follows:</w:t>
      </w:r>
    </w:p>
    <w:p w14:paraId="5FEDC97E" w14:textId="3BD93FF8" w:rsidR="00163118" w:rsidRPr="00163118" w:rsidRDefault="00163118" w:rsidP="00163118">
      <w:pPr>
        <w:pStyle w:val="ListParagraph"/>
        <w:numPr>
          <w:ilvl w:val="0"/>
          <w:numId w:val="27"/>
        </w:numPr>
        <w:jc w:val="both"/>
        <w:rPr>
          <w:rFonts w:eastAsia="Yu Mincho"/>
          <w:bCs/>
          <w:sz w:val="20"/>
          <w:szCs w:val="20"/>
        </w:rPr>
      </w:pPr>
      <w:r w:rsidRPr="00163118">
        <w:rPr>
          <w:rFonts w:eastAsia="Yu Mincho"/>
          <w:bCs/>
          <w:sz w:val="20"/>
          <w:szCs w:val="20"/>
        </w:rPr>
        <w:fldChar w:fldCharType="begin"/>
      </w:r>
      <w:r w:rsidRPr="00163118">
        <w:rPr>
          <w:rFonts w:eastAsia="Yu Mincho"/>
          <w:bCs/>
          <w:sz w:val="20"/>
          <w:szCs w:val="20"/>
        </w:rPr>
        <w:instrText xml:space="preserve"> LINK Word.Document.12 "D:\\userdata\\kordybac\\My Documents\\Sluzbowe\\3GPP\\WG3 #104 190513 Reno\\Przygotowania\\szkice\\MobEnh\\R3-19xxxx MobEnh_LTE v01.docx" "OLE_LINK1" \a \r </w:instrText>
      </w:r>
      <w:r>
        <w:rPr>
          <w:rFonts w:eastAsia="Yu Mincho"/>
          <w:bCs/>
          <w:sz w:val="20"/>
          <w:szCs w:val="20"/>
        </w:rPr>
        <w:instrText xml:space="preserve"> \* MERGEFORMAT </w:instrText>
      </w:r>
      <w:r w:rsidRPr="00163118">
        <w:rPr>
          <w:rFonts w:eastAsia="Yu Mincho"/>
          <w:bCs/>
          <w:sz w:val="20"/>
          <w:szCs w:val="20"/>
        </w:rPr>
        <w:fldChar w:fldCharType="separate"/>
      </w:r>
      <w:r w:rsidRPr="00163118">
        <w:rPr>
          <w:rFonts w:eastAsia="Yu Mincho"/>
          <w:bCs/>
          <w:sz w:val="20"/>
          <w:szCs w:val="20"/>
        </w:rPr>
        <w:t>For triggering of the CHO, it is proposed to reuse the existing Handover Preparation procedure. Additional information shall be added to enable the target to tell legacy HO from a CHO.</w:t>
      </w:r>
      <w:r w:rsidRPr="00163118">
        <w:rPr>
          <w:rFonts w:eastAsia="Yu Mincho"/>
          <w:bCs/>
          <w:sz w:val="20"/>
          <w:szCs w:val="20"/>
        </w:rPr>
        <w:fldChar w:fldCharType="end"/>
      </w:r>
    </w:p>
    <w:p w14:paraId="2EA18BF1" w14:textId="1877F3F9" w:rsidR="00163118" w:rsidRPr="00163118" w:rsidRDefault="00163118" w:rsidP="00163118">
      <w:pPr>
        <w:pStyle w:val="ListParagraph"/>
        <w:numPr>
          <w:ilvl w:val="0"/>
          <w:numId w:val="27"/>
        </w:numPr>
        <w:jc w:val="both"/>
        <w:rPr>
          <w:rFonts w:eastAsia="Yu Mincho"/>
          <w:bCs/>
          <w:sz w:val="20"/>
          <w:szCs w:val="20"/>
        </w:rPr>
      </w:pPr>
      <w:r w:rsidRPr="00163118">
        <w:rPr>
          <w:rFonts w:eastAsia="Yu Mincho"/>
          <w:bCs/>
          <w:sz w:val="20"/>
          <w:szCs w:val="20"/>
        </w:rPr>
        <w:fldChar w:fldCharType="begin"/>
      </w:r>
      <w:r w:rsidRPr="00163118">
        <w:rPr>
          <w:rFonts w:eastAsia="Yu Mincho"/>
          <w:bCs/>
          <w:sz w:val="20"/>
          <w:szCs w:val="20"/>
        </w:rPr>
        <w:instrText xml:space="preserve"> LINK Word.Document.12 "D:\\userdata\\kordybac\\My Documents\\Sluzbowe\\3GPP\\WG3 #104 190513 Reno\\Przygotowania\\szkice\\MobEnh\\R3-19xxxx MobEnh_LTE v01.docx" "OLE_LINK2" \a \r </w:instrText>
      </w:r>
      <w:r>
        <w:rPr>
          <w:rFonts w:eastAsia="Yu Mincho"/>
          <w:bCs/>
          <w:sz w:val="20"/>
          <w:szCs w:val="20"/>
        </w:rPr>
        <w:instrText xml:space="preserve"> \* MERGEFORMAT </w:instrText>
      </w:r>
      <w:r w:rsidRPr="00163118">
        <w:rPr>
          <w:rFonts w:eastAsia="Yu Mincho"/>
          <w:bCs/>
          <w:sz w:val="20"/>
          <w:szCs w:val="20"/>
        </w:rPr>
        <w:fldChar w:fldCharType="separate"/>
      </w:r>
      <w:r w:rsidRPr="00163118">
        <w:rPr>
          <w:rFonts w:eastAsia="Yu Mincho"/>
          <w:bCs/>
          <w:sz w:val="20"/>
          <w:szCs w:val="20"/>
        </w:rPr>
        <w:t>For amending of the accepted CHO, it is proposed to reuse the existing Handover Preparation procedure, too. The target’s UE ID shall be added as an optional IE to the HO REQUEST message.</w:t>
      </w:r>
      <w:r w:rsidRPr="00163118">
        <w:rPr>
          <w:rFonts w:eastAsia="Yu Mincho"/>
          <w:bCs/>
          <w:sz w:val="20"/>
          <w:szCs w:val="20"/>
        </w:rPr>
        <w:fldChar w:fldCharType="end"/>
      </w:r>
    </w:p>
    <w:p w14:paraId="3412E323" w14:textId="4CD759FE" w:rsidR="00163118" w:rsidRPr="00163118" w:rsidRDefault="00163118" w:rsidP="00163118">
      <w:pPr>
        <w:pStyle w:val="ListParagraph"/>
        <w:numPr>
          <w:ilvl w:val="0"/>
          <w:numId w:val="27"/>
        </w:numPr>
        <w:jc w:val="both"/>
        <w:rPr>
          <w:rFonts w:eastAsia="Yu Mincho"/>
          <w:bCs/>
          <w:sz w:val="20"/>
          <w:szCs w:val="20"/>
        </w:rPr>
      </w:pPr>
      <w:r w:rsidRPr="00163118">
        <w:rPr>
          <w:rFonts w:eastAsia="Yu Mincho"/>
          <w:bCs/>
          <w:sz w:val="20"/>
          <w:szCs w:val="20"/>
        </w:rPr>
        <w:fldChar w:fldCharType="begin"/>
      </w:r>
      <w:r w:rsidRPr="00163118">
        <w:rPr>
          <w:rFonts w:eastAsia="Yu Mincho"/>
          <w:bCs/>
          <w:sz w:val="20"/>
          <w:szCs w:val="20"/>
        </w:rPr>
        <w:instrText xml:space="preserve"> LINK Word.Document.12 "D:\\userdata\\kordybac\\My Documents\\Sluzbowe\\3GPP\\WG3 #104 190513 Reno\\Przygotowania\\szkice\\MobEnh\\R3-19xxxx MobEnh_LTE v01.docx" "OLE_LINK3" \a \r </w:instrText>
      </w:r>
      <w:r>
        <w:rPr>
          <w:rFonts w:eastAsia="Yu Mincho"/>
          <w:bCs/>
          <w:sz w:val="20"/>
          <w:szCs w:val="20"/>
        </w:rPr>
        <w:instrText xml:space="preserve"> \* MERGEFORMAT </w:instrText>
      </w:r>
      <w:r w:rsidRPr="00163118">
        <w:rPr>
          <w:rFonts w:eastAsia="Yu Mincho"/>
          <w:bCs/>
          <w:sz w:val="20"/>
          <w:szCs w:val="20"/>
        </w:rPr>
        <w:fldChar w:fldCharType="separate"/>
      </w:r>
      <w:r w:rsidRPr="00163118">
        <w:rPr>
          <w:rFonts w:eastAsia="Yu Mincho"/>
          <w:bCs/>
          <w:sz w:val="20"/>
          <w:szCs w:val="20"/>
        </w:rPr>
        <w:t>For cancelling of the accepted CHO from the source side, it is proposed to reuse the existing Handover Cancel procedure without changes.</w:t>
      </w:r>
      <w:r w:rsidRPr="00163118">
        <w:rPr>
          <w:rFonts w:eastAsia="Yu Mincho"/>
          <w:bCs/>
          <w:sz w:val="20"/>
          <w:szCs w:val="20"/>
        </w:rPr>
        <w:fldChar w:fldCharType="end"/>
      </w:r>
    </w:p>
    <w:p w14:paraId="6F50CD7C" w14:textId="3055EC05" w:rsidR="00163118" w:rsidRDefault="00163118" w:rsidP="00163118">
      <w:pPr>
        <w:pStyle w:val="ListParagraph"/>
        <w:numPr>
          <w:ilvl w:val="0"/>
          <w:numId w:val="27"/>
        </w:numPr>
        <w:jc w:val="both"/>
        <w:rPr>
          <w:rFonts w:eastAsia="Yu Mincho"/>
          <w:bCs/>
          <w:sz w:val="20"/>
          <w:szCs w:val="20"/>
        </w:rPr>
      </w:pPr>
      <w:r w:rsidRPr="00163118">
        <w:rPr>
          <w:rFonts w:eastAsia="Yu Mincho"/>
          <w:bCs/>
          <w:sz w:val="20"/>
          <w:szCs w:val="20"/>
        </w:rPr>
        <w:fldChar w:fldCharType="begin"/>
      </w:r>
      <w:r w:rsidRPr="00163118">
        <w:rPr>
          <w:rFonts w:eastAsia="Yu Mincho"/>
          <w:bCs/>
          <w:sz w:val="20"/>
          <w:szCs w:val="20"/>
        </w:rPr>
        <w:instrText xml:space="preserve"> LINK Word.Document.12 "D:\\userdata\\kordybac\\My Documents\\Sluzbowe\\3GPP\\WG3 #104 190513 Reno\\Przygotowania\\szkice\\MobEnh\\R3-19xxxx MobEnh_LTE v01.docx" "OLE_LINK4" \a \r </w:instrText>
      </w:r>
      <w:r>
        <w:rPr>
          <w:rFonts w:eastAsia="Yu Mincho"/>
          <w:bCs/>
          <w:sz w:val="20"/>
          <w:szCs w:val="20"/>
        </w:rPr>
        <w:instrText xml:space="preserve"> \* MERGEFORMAT </w:instrText>
      </w:r>
      <w:r w:rsidRPr="00163118">
        <w:rPr>
          <w:rFonts w:eastAsia="Yu Mincho"/>
          <w:bCs/>
          <w:sz w:val="20"/>
          <w:szCs w:val="20"/>
        </w:rPr>
        <w:fldChar w:fldCharType="separate"/>
      </w:r>
      <w:r w:rsidRPr="00163118">
        <w:rPr>
          <w:rFonts w:eastAsia="Yu Mincho"/>
          <w:bCs/>
          <w:sz w:val="20"/>
          <w:szCs w:val="20"/>
        </w:rPr>
        <w:t>For cancelling of the accepted CHO from the target side, it is proposed to reuse the existing Handover Cancel procedure, too. The procedure shall be extended so that it can be initiated by the target in case of CHO, too.</w:t>
      </w:r>
      <w:r w:rsidRPr="00163118">
        <w:rPr>
          <w:rFonts w:eastAsia="Yu Mincho"/>
          <w:bCs/>
          <w:sz w:val="20"/>
          <w:szCs w:val="20"/>
        </w:rPr>
        <w:fldChar w:fldCharType="end"/>
      </w:r>
    </w:p>
    <w:p w14:paraId="6B4C4C23" w14:textId="18EB40EC" w:rsidR="00410C61" w:rsidRPr="00163118" w:rsidRDefault="00410C61" w:rsidP="00163118">
      <w:pPr>
        <w:pStyle w:val="ListParagraph"/>
        <w:numPr>
          <w:ilvl w:val="0"/>
          <w:numId w:val="27"/>
        </w:numPr>
        <w:jc w:val="both"/>
        <w:rPr>
          <w:rFonts w:eastAsia="Yu Mincho"/>
          <w:bCs/>
          <w:sz w:val="20"/>
          <w:szCs w:val="20"/>
        </w:rPr>
      </w:pPr>
      <w:r>
        <w:rPr>
          <w:rFonts w:eastAsia="Yu Mincho"/>
          <w:bCs/>
          <w:sz w:val="20"/>
          <w:szCs w:val="20"/>
        </w:rPr>
        <w:fldChar w:fldCharType="begin"/>
      </w:r>
      <w:r>
        <w:rPr>
          <w:rFonts w:eastAsia="Yu Mincho"/>
          <w:bCs/>
          <w:sz w:val="20"/>
          <w:szCs w:val="20"/>
        </w:rPr>
        <w:instrText xml:space="preserve"> LINK Word.Document.12 "D:\\userdata\\kordybac\\My Documents\\Sluzbowe\\3GPP\\WG3 #104 190513 Reno\\Przygotowania\\szkice\\MobEnh\\R3-19xxxx MobEnh_LTE v01.docx" "OLE_LINK5" \a \r  \* MERGEFORMAT </w:instrText>
      </w:r>
      <w:r>
        <w:rPr>
          <w:rFonts w:eastAsia="Yu Mincho"/>
          <w:bCs/>
          <w:sz w:val="20"/>
          <w:szCs w:val="20"/>
        </w:rPr>
        <w:fldChar w:fldCharType="separate"/>
      </w:r>
      <w:r w:rsidRPr="00410C61">
        <w:rPr>
          <w:rFonts w:eastAsia="Yu Mincho"/>
          <w:bCs/>
          <w:sz w:val="20"/>
          <w:szCs w:val="20"/>
        </w:rPr>
        <w:t>For informing the source that data forwarding may start, a new class-2 procedure shall be defined.</w:t>
      </w:r>
      <w:r>
        <w:rPr>
          <w:rFonts w:eastAsia="Yu Mincho"/>
          <w:bCs/>
          <w:sz w:val="20"/>
          <w:szCs w:val="20"/>
        </w:rPr>
        <w:fldChar w:fldCharType="end"/>
      </w:r>
    </w:p>
    <w:p w14:paraId="47271DE3" w14:textId="77777777" w:rsidR="00163118" w:rsidRDefault="00163118" w:rsidP="009F482E">
      <w:pPr>
        <w:jc w:val="both"/>
        <w:rPr>
          <w:bCs/>
          <w:lang w:val="en-US"/>
        </w:rPr>
      </w:pPr>
    </w:p>
    <w:p w14:paraId="02962C6D" w14:textId="6E1672AA" w:rsidR="00163118" w:rsidRDefault="00163118" w:rsidP="009F482E">
      <w:pPr>
        <w:jc w:val="both"/>
        <w:rPr>
          <w:bCs/>
          <w:lang w:val="en-US"/>
        </w:rPr>
      </w:pPr>
      <w:r>
        <w:rPr>
          <w:bCs/>
          <w:lang w:val="en-US"/>
        </w:rPr>
        <w:t xml:space="preserve">Draft of the </w:t>
      </w:r>
      <w:r w:rsidR="00096899">
        <w:rPr>
          <w:bCs/>
          <w:lang w:val="en-US"/>
        </w:rPr>
        <w:t xml:space="preserve">X2AP </w:t>
      </w:r>
      <w:r>
        <w:rPr>
          <w:bCs/>
          <w:lang w:val="en-US"/>
        </w:rPr>
        <w:t xml:space="preserve">CR, to </w:t>
      </w:r>
      <w:r w:rsidR="00096899">
        <w:rPr>
          <w:bCs/>
          <w:lang w:val="en-US"/>
        </w:rPr>
        <w:t>help the discussion, is provided in [3].</w:t>
      </w:r>
      <w:r w:rsidR="003D46BF">
        <w:rPr>
          <w:bCs/>
          <w:lang w:val="en-US"/>
        </w:rPr>
        <w:t xml:space="preserve"> </w:t>
      </w:r>
      <w:bookmarkStart w:id="8" w:name="_GoBack"/>
      <w:r w:rsidR="003D46BF">
        <w:rPr>
          <w:bCs/>
          <w:lang w:val="en-US"/>
        </w:rPr>
        <w:t>We propose to approve it as the baseline CR for future discussion.</w:t>
      </w:r>
      <w:bookmarkEnd w:id="8"/>
    </w:p>
    <w:p w14:paraId="483F8717" w14:textId="77777777" w:rsidR="00403B9B" w:rsidRPr="006E13D1" w:rsidRDefault="00403B9B" w:rsidP="00403B9B">
      <w:pPr>
        <w:pStyle w:val="Heading1"/>
      </w:pPr>
      <w:r w:rsidRPr="006E13D1">
        <w:t>References</w:t>
      </w:r>
    </w:p>
    <w:p w14:paraId="39495CE0" w14:textId="0D02D67E" w:rsidR="00403B9B" w:rsidRDefault="00C430F9" w:rsidP="00403B9B">
      <w:pPr>
        <w:numPr>
          <w:ilvl w:val="0"/>
          <w:numId w:val="4"/>
        </w:numPr>
        <w:overflowPunct w:val="0"/>
        <w:autoSpaceDE w:val="0"/>
        <w:autoSpaceDN w:val="0"/>
        <w:adjustRightInd w:val="0"/>
        <w:textAlignment w:val="baseline"/>
        <w:rPr>
          <w:lang w:val="en-US"/>
        </w:rPr>
      </w:pPr>
      <w:r w:rsidRPr="00C430F9">
        <w:rPr>
          <w:lang w:val="en-US"/>
        </w:rPr>
        <w:t>R</w:t>
      </w:r>
      <w:r w:rsidR="00CA2C0B">
        <w:rPr>
          <w:lang w:val="en-US"/>
        </w:rPr>
        <w:t>2</w:t>
      </w:r>
      <w:r w:rsidRPr="00C430F9">
        <w:rPr>
          <w:lang w:val="en-US"/>
        </w:rPr>
        <w:t>-19</w:t>
      </w:r>
      <w:r w:rsidR="00CA2C0B">
        <w:rPr>
          <w:lang w:val="en-US"/>
        </w:rPr>
        <w:t>05468</w:t>
      </w:r>
      <w:r w:rsidR="00F70559">
        <w:rPr>
          <w:lang w:val="en-US"/>
        </w:rPr>
        <w:t>, RAN</w:t>
      </w:r>
      <w:r w:rsidR="00CA2C0B">
        <w:rPr>
          <w:lang w:val="en-US"/>
        </w:rPr>
        <w:t>2</w:t>
      </w:r>
      <w:r w:rsidR="00F70559">
        <w:rPr>
          <w:lang w:val="en-US"/>
        </w:rPr>
        <w:t xml:space="preserve"> #10</w:t>
      </w:r>
      <w:r w:rsidR="00CA2C0B">
        <w:rPr>
          <w:lang w:val="en-US"/>
        </w:rPr>
        <w:t>5</w:t>
      </w:r>
      <w:r w:rsidR="00F70559">
        <w:rPr>
          <w:lang w:val="en-US"/>
        </w:rPr>
        <w:t>-bis</w:t>
      </w:r>
    </w:p>
    <w:p w14:paraId="570367A1" w14:textId="62468D22" w:rsidR="00591568" w:rsidRDefault="008E4DCF" w:rsidP="00671901">
      <w:pPr>
        <w:numPr>
          <w:ilvl w:val="0"/>
          <w:numId w:val="4"/>
        </w:numPr>
        <w:overflowPunct w:val="0"/>
        <w:autoSpaceDE w:val="0"/>
        <w:autoSpaceDN w:val="0"/>
        <w:adjustRightInd w:val="0"/>
        <w:textAlignment w:val="baseline"/>
        <w:rPr>
          <w:lang w:val="en-US"/>
        </w:rPr>
      </w:pPr>
      <w:bookmarkStart w:id="9" w:name="_Hlk4571997"/>
      <w:r>
        <w:rPr>
          <w:lang w:val="en-US"/>
        </w:rPr>
        <w:t>R3-19</w:t>
      </w:r>
      <w:r w:rsidR="00372B4F">
        <w:rPr>
          <w:lang w:val="en-US"/>
        </w:rPr>
        <w:t>2414</w:t>
      </w:r>
      <w:r>
        <w:rPr>
          <w:lang w:val="en-US"/>
        </w:rPr>
        <w:t>, RAN3 #104</w:t>
      </w:r>
    </w:p>
    <w:p w14:paraId="2384A5B4" w14:textId="1B3FA842" w:rsidR="00096899" w:rsidRPr="00671901" w:rsidRDefault="00096899" w:rsidP="00671901">
      <w:pPr>
        <w:numPr>
          <w:ilvl w:val="0"/>
          <w:numId w:val="4"/>
        </w:numPr>
        <w:overflowPunct w:val="0"/>
        <w:autoSpaceDE w:val="0"/>
        <w:autoSpaceDN w:val="0"/>
        <w:adjustRightInd w:val="0"/>
        <w:textAlignment w:val="baseline"/>
        <w:rPr>
          <w:lang w:val="en-US"/>
        </w:rPr>
      </w:pPr>
      <w:r>
        <w:rPr>
          <w:lang w:val="en-US"/>
        </w:rPr>
        <w:t>R3-19</w:t>
      </w:r>
      <w:r w:rsidR="00372B4F">
        <w:rPr>
          <w:lang w:val="en-US"/>
        </w:rPr>
        <w:t>2416</w:t>
      </w:r>
      <w:r>
        <w:rPr>
          <w:lang w:val="en-US"/>
        </w:rPr>
        <w:t>, RAN3 #104</w:t>
      </w:r>
    </w:p>
    <w:bookmarkEnd w:id="9"/>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B4F29" w14:textId="77777777" w:rsidR="00CB1769" w:rsidRDefault="00CB1769">
      <w:r>
        <w:separator/>
      </w:r>
    </w:p>
  </w:endnote>
  <w:endnote w:type="continuationSeparator" w:id="0">
    <w:p w14:paraId="499A6D0E" w14:textId="77777777" w:rsidR="00CB1769" w:rsidRDefault="00CB1769">
      <w:r>
        <w:continuationSeparator/>
      </w:r>
    </w:p>
  </w:endnote>
  <w:endnote w:type="continuationNotice" w:id="1">
    <w:p w14:paraId="46937CA9" w14:textId="77777777" w:rsidR="00CB1769" w:rsidRDefault="00CB1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8EB06" w14:textId="77777777" w:rsidR="00CB1769" w:rsidRDefault="00CB1769">
      <w:r>
        <w:separator/>
      </w:r>
    </w:p>
  </w:footnote>
  <w:footnote w:type="continuationSeparator" w:id="0">
    <w:p w14:paraId="35494FE4" w14:textId="77777777" w:rsidR="00CB1769" w:rsidRDefault="00CB1769">
      <w:r>
        <w:continuationSeparator/>
      </w:r>
    </w:p>
  </w:footnote>
  <w:footnote w:type="continuationNotice" w:id="1">
    <w:p w14:paraId="5A566814" w14:textId="77777777" w:rsidR="00CB1769" w:rsidRDefault="00CB17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9B66AE"/>
    <w:multiLevelType w:val="hybridMultilevel"/>
    <w:tmpl w:val="260887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2"/>
  </w:num>
  <w:num w:numId="4">
    <w:abstractNumId w:val="9"/>
  </w:num>
  <w:num w:numId="5">
    <w:abstractNumId w:val="10"/>
  </w:num>
  <w:num w:numId="6">
    <w:abstractNumId w:val="26"/>
  </w:num>
  <w:num w:numId="7">
    <w:abstractNumId w:val="18"/>
  </w:num>
  <w:num w:numId="8">
    <w:abstractNumId w:val="13"/>
  </w:num>
  <w:num w:numId="9">
    <w:abstractNumId w:val="25"/>
  </w:num>
  <w:num w:numId="10">
    <w:abstractNumId w:val="17"/>
  </w:num>
  <w:num w:numId="11">
    <w:abstractNumId w:val="11"/>
  </w:num>
  <w:num w:numId="12">
    <w:abstractNumId w:val="22"/>
  </w:num>
  <w:num w:numId="13">
    <w:abstractNumId w:val="24"/>
  </w:num>
  <w:num w:numId="14">
    <w:abstractNumId w:val="2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5"/>
  </w:num>
  <w:num w:numId="25">
    <w:abstractNumId w:val="19"/>
  </w:num>
  <w:num w:numId="26">
    <w:abstractNumId w:val="14"/>
  </w:num>
  <w:num w:numId="27">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899"/>
    <w:rsid w:val="00096BF9"/>
    <w:rsid w:val="000A1353"/>
    <w:rsid w:val="000A4BFA"/>
    <w:rsid w:val="000B07F1"/>
    <w:rsid w:val="000B1DBC"/>
    <w:rsid w:val="000B2EEB"/>
    <w:rsid w:val="000B4278"/>
    <w:rsid w:val="000B53A8"/>
    <w:rsid w:val="000B7558"/>
    <w:rsid w:val="000B7BCF"/>
    <w:rsid w:val="000C00D3"/>
    <w:rsid w:val="000C0F01"/>
    <w:rsid w:val="000C1438"/>
    <w:rsid w:val="000C1CC1"/>
    <w:rsid w:val="000C2A2A"/>
    <w:rsid w:val="000C5C6A"/>
    <w:rsid w:val="000C6AF3"/>
    <w:rsid w:val="000C6D96"/>
    <w:rsid w:val="000C7039"/>
    <w:rsid w:val="000D458F"/>
    <w:rsid w:val="000D4960"/>
    <w:rsid w:val="000D58AB"/>
    <w:rsid w:val="000D7DAA"/>
    <w:rsid w:val="000E153B"/>
    <w:rsid w:val="000E3312"/>
    <w:rsid w:val="000E5662"/>
    <w:rsid w:val="000E5B70"/>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3118"/>
    <w:rsid w:val="0016401A"/>
    <w:rsid w:val="00164774"/>
    <w:rsid w:val="001649F0"/>
    <w:rsid w:val="00164D68"/>
    <w:rsid w:val="0016591F"/>
    <w:rsid w:val="00166347"/>
    <w:rsid w:val="00167766"/>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DA1"/>
    <w:rsid w:val="001D0230"/>
    <w:rsid w:val="001D068F"/>
    <w:rsid w:val="001D393D"/>
    <w:rsid w:val="001D412B"/>
    <w:rsid w:val="001D6244"/>
    <w:rsid w:val="001D6AAA"/>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3DF9"/>
    <w:rsid w:val="0022526D"/>
    <w:rsid w:val="00225627"/>
    <w:rsid w:val="0022606D"/>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5999"/>
    <w:rsid w:val="00286494"/>
    <w:rsid w:val="002864B2"/>
    <w:rsid w:val="00287E09"/>
    <w:rsid w:val="00290FC8"/>
    <w:rsid w:val="0029437A"/>
    <w:rsid w:val="0029482D"/>
    <w:rsid w:val="002972BE"/>
    <w:rsid w:val="002977E1"/>
    <w:rsid w:val="002A2A41"/>
    <w:rsid w:val="002A362A"/>
    <w:rsid w:val="002A6219"/>
    <w:rsid w:val="002A7EF7"/>
    <w:rsid w:val="002B0220"/>
    <w:rsid w:val="002B0529"/>
    <w:rsid w:val="002B06B2"/>
    <w:rsid w:val="002B5A2A"/>
    <w:rsid w:val="002B707A"/>
    <w:rsid w:val="002C1220"/>
    <w:rsid w:val="002C2085"/>
    <w:rsid w:val="002C3D2A"/>
    <w:rsid w:val="002C4C12"/>
    <w:rsid w:val="002C4C9C"/>
    <w:rsid w:val="002C54F7"/>
    <w:rsid w:val="002D559B"/>
    <w:rsid w:val="002E0428"/>
    <w:rsid w:val="002E0503"/>
    <w:rsid w:val="002E0B99"/>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1168"/>
    <w:rsid w:val="00372B4F"/>
    <w:rsid w:val="0037419B"/>
    <w:rsid w:val="0037429E"/>
    <w:rsid w:val="003770E5"/>
    <w:rsid w:val="0037722C"/>
    <w:rsid w:val="00380699"/>
    <w:rsid w:val="00382E40"/>
    <w:rsid w:val="00387439"/>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46BF"/>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10C61"/>
    <w:rsid w:val="00411A17"/>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745E6"/>
    <w:rsid w:val="00477373"/>
    <w:rsid w:val="00480550"/>
    <w:rsid w:val="00483AFF"/>
    <w:rsid w:val="00484DBF"/>
    <w:rsid w:val="004862A9"/>
    <w:rsid w:val="00486CD7"/>
    <w:rsid w:val="00490813"/>
    <w:rsid w:val="00493F5A"/>
    <w:rsid w:val="00494C2D"/>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2C51"/>
    <w:rsid w:val="00526054"/>
    <w:rsid w:val="00526E01"/>
    <w:rsid w:val="00530762"/>
    <w:rsid w:val="005323EE"/>
    <w:rsid w:val="00534DA0"/>
    <w:rsid w:val="00537356"/>
    <w:rsid w:val="005411E7"/>
    <w:rsid w:val="00543E6C"/>
    <w:rsid w:val="00544ECE"/>
    <w:rsid w:val="00552573"/>
    <w:rsid w:val="005536AB"/>
    <w:rsid w:val="005554CA"/>
    <w:rsid w:val="0056341C"/>
    <w:rsid w:val="00565087"/>
    <w:rsid w:val="0056573F"/>
    <w:rsid w:val="00566445"/>
    <w:rsid w:val="00566D2C"/>
    <w:rsid w:val="005731F4"/>
    <w:rsid w:val="00573616"/>
    <w:rsid w:val="0058588B"/>
    <w:rsid w:val="00586F17"/>
    <w:rsid w:val="0059146F"/>
    <w:rsid w:val="00591568"/>
    <w:rsid w:val="00592B81"/>
    <w:rsid w:val="00593957"/>
    <w:rsid w:val="00596A09"/>
    <w:rsid w:val="005971B7"/>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7B8F"/>
    <w:rsid w:val="005D53D9"/>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C06"/>
    <w:rsid w:val="00667667"/>
    <w:rsid w:val="00670F0D"/>
    <w:rsid w:val="00671901"/>
    <w:rsid w:val="00672C5E"/>
    <w:rsid w:val="0067441F"/>
    <w:rsid w:val="00682281"/>
    <w:rsid w:val="00683C17"/>
    <w:rsid w:val="00685083"/>
    <w:rsid w:val="006859FC"/>
    <w:rsid w:val="006863A7"/>
    <w:rsid w:val="00690975"/>
    <w:rsid w:val="00690FBE"/>
    <w:rsid w:val="00696D6B"/>
    <w:rsid w:val="00697279"/>
    <w:rsid w:val="006A04E4"/>
    <w:rsid w:val="006A119F"/>
    <w:rsid w:val="006A1637"/>
    <w:rsid w:val="006A18B1"/>
    <w:rsid w:val="006A364A"/>
    <w:rsid w:val="006A50DB"/>
    <w:rsid w:val="006A54D5"/>
    <w:rsid w:val="006A5590"/>
    <w:rsid w:val="006B09B1"/>
    <w:rsid w:val="006B2381"/>
    <w:rsid w:val="006B3C66"/>
    <w:rsid w:val="006B4328"/>
    <w:rsid w:val="006C1888"/>
    <w:rsid w:val="006C3245"/>
    <w:rsid w:val="006C698B"/>
    <w:rsid w:val="006C6AD9"/>
    <w:rsid w:val="006C7A66"/>
    <w:rsid w:val="006D04FE"/>
    <w:rsid w:val="006D183B"/>
    <w:rsid w:val="006D1B5F"/>
    <w:rsid w:val="006D1E24"/>
    <w:rsid w:val="006D231C"/>
    <w:rsid w:val="006D333D"/>
    <w:rsid w:val="006D6322"/>
    <w:rsid w:val="006D679C"/>
    <w:rsid w:val="006D7D23"/>
    <w:rsid w:val="006E2717"/>
    <w:rsid w:val="006E4D6B"/>
    <w:rsid w:val="006E73C6"/>
    <w:rsid w:val="006E7F54"/>
    <w:rsid w:val="006F13B1"/>
    <w:rsid w:val="006F1FA3"/>
    <w:rsid w:val="006F212F"/>
    <w:rsid w:val="006F2E59"/>
    <w:rsid w:val="006F35FD"/>
    <w:rsid w:val="006F4FC0"/>
    <w:rsid w:val="006F61D5"/>
    <w:rsid w:val="007004C2"/>
    <w:rsid w:val="00701BAD"/>
    <w:rsid w:val="0070400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6920"/>
    <w:rsid w:val="00747986"/>
    <w:rsid w:val="007501B4"/>
    <w:rsid w:val="00750722"/>
    <w:rsid w:val="0075088D"/>
    <w:rsid w:val="007511B4"/>
    <w:rsid w:val="00751B1A"/>
    <w:rsid w:val="00752479"/>
    <w:rsid w:val="00755817"/>
    <w:rsid w:val="0075589F"/>
    <w:rsid w:val="00757C6F"/>
    <w:rsid w:val="00757D40"/>
    <w:rsid w:val="00761EE1"/>
    <w:rsid w:val="0076250D"/>
    <w:rsid w:val="00765BA8"/>
    <w:rsid w:val="007709F9"/>
    <w:rsid w:val="00772865"/>
    <w:rsid w:val="00772E0E"/>
    <w:rsid w:val="00776187"/>
    <w:rsid w:val="00781F0F"/>
    <w:rsid w:val="00787213"/>
    <w:rsid w:val="0078727C"/>
    <w:rsid w:val="007877A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A2"/>
    <w:rsid w:val="00845057"/>
    <w:rsid w:val="00845474"/>
    <w:rsid w:val="00845F98"/>
    <w:rsid w:val="00846E07"/>
    <w:rsid w:val="00852A4B"/>
    <w:rsid w:val="00852A5B"/>
    <w:rsid w:val="00852D39"/>
    <w:rsid w:val="00854C37"/>
    <w:rsid w:val="00855F2F"/>
    <w:rsid w:val="0085724C"/>
    <w:rsid w:val="00862A45"/>
    <w:rsid w:val="00866280"/>
    <w:rsid w:val="00866E76"/>
    <w:rsid w:val="00866F16"/>
    <w:rsid w:val="0086799C"/>
    <w:rsid w:val="00870AEC"/>
    <w:rsid w:val="00875BEE"/>
    <w:rsid w:val="008768CA"/>
    <w:rsid w:val="00876971"/>
    <w:rsid w:val="00877813"/>
    <w:rsid w:val="00880559"/>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4DCF"/>
    <w:rsid w:val="008E5ADC"/>
    <w:rsid w:val="008E5F5E"/>
    <w:rsid w:val="008F13A1"/>
    <w:rsid w:val="008F1C1B"/>
    <w:rsid w:val="008F1FDD"/>
    <w:rsid w:val="008F5E56"/>
    <w:rsid w:val="008F7C0D"/>
    <w:rsid w:val="009004C7"/>
    <w:rsid w:val="00900782"/>
    <w:rsid w:val="0090271F"/>
    <w:rsid w:val="00904A71"/>
    <w:rsid w:val="00910049"/>
    <w:rsid w:val="009145D4"/>
    <w:rsid w:val="00915010"/>
    <w:rsid w:val="009163CE"/>
    <w:rsid w:val="0091774A"/>
    <w:rsid w:val="00917D83"/>
    <w:rsid w:val="0092054B"/>
    <w:rsid w:val="00922E52"/>
    <w:rsid w:val="009265A4"/>
    <w:rsid w:val="00927399"/>
    <w:rsid w:val="00932497"/>
    <w:rsid w:val="0093545F"/>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5414"/>
    <w:rsid w:val="00A35C09"/>
    <w:rsid w:val="00A43886"/>
    <w:rsid w:val="00A43B3A"/>
    <w:rsid w:val="00A44166"/>
    <w:rsid w:val="00A4702F"/>
    <w:rsid w:val="00A53724"/>
    <w:rsid w:val="00A55E74"/>
    <w:rsid w:val="00A5718E"/>
    <w:rsid w:val="00A57826"/>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4E8F"/>
    <w:rsid w:val="00AB0EE8"/>
    <w:rsid w:val="00AB14C4"/>
    <w:rsid w:val="00AB30AE"/>
    <w:rsid w:val="00AB3B76"/>
    <w:rsid w:val="00AB439F"/>
    <w:rsid w:val="00AB7904"/>
    <w:rsid w:val="00AC01D1"/>
    <w:rsid w:val="00AC205B"/>
    <w:rsid w:val="00AC2C87"/>
    <w:rsid w:val="00AC30E3"/>
    <w:rsid w:val="00AC39D1"/>
    <w:rsid w:val="00AD6538"/>
    <w:rsid w:val="00AE0FAB"/>
    <w:rsid w:val="00AE131B"/>
    <w:rsid w:val="00AE1816"/>
    <w:rsid w:val="00AE283D"/>
    <w:rsid w:val="00AE4D66"/>
    <w:rsid w:val="00AE5120"/>
    <w:rsid w:val="00AF6AC6"/>
    <w:rsid w:val="00B033EF"/>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46F3"/>
    <w:rsid w:val="00B4479D"/>
    <w:rsid w:val="00B44B26"/>
    <w:rsid w:val="00B46DFA"/>
    <w:rsid w:val="00B47B4C"/>
    <w:rsid w:val="00B53026"/>
    <w:rsid w:val="00B573A0"/>
    <w:rsid w:val="00B575B7"/>
    <w:rsid w:val="00B620C6"/>
    <w:rsid w:val="00B62656"/>
    <w:rsid w:val="00B6400F"/>
    <w:rsid w:val="00B64F6E"/>
    <w:rsid w:val="00B67516"/>
    <w:rsid w:val="00B675E5"/>
    <w:rsid w:val="00B67FC5"/>
    <w:rsid w:val="00B704B9"/>
    <w:rsid w:val="00B71C9C"/>
    <w:rsid w:val="00B74F24"/>
    <w:rsid w:val="00B77D03"/>
    <w:rsid w:val="00B80819"/>
    <w:rsid w:val="00B836B3"/>
    <w:rsid w:val="00B92E27"/>
    <w:rsid w:val="00B931D0"/>
    <w:rsid w:val="00B95C0E"/>
    <w:rsid w:val="00BA0F1F"/>
    <w:rsid w:val="00BA2519"/>
    <w:rsid w:val="00BA4DBE"/>
    <w:rsid w:val="00BA79DD"/>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5EEB"/>
    <w:rsid w:val="00BF626E"/>
    <w:rsid w:val="00BF77B2"/>
    <w:rsid w:val="00BF79F1"/>
    <w:rsid w:val="00C01A56"/>
    <w:rsid w:val="00C01E2A"/>
    <w:rsid w:val="00C025B4"/>
    <w:rsid w:val="00C10D1A"/>
    <w:rsid w:val="00C10EDD"/>
    <w:rsid w:val="00C149EE"/>
    <w:rsid w:val="00C16011"/>
    <w:rsid w:val="00C1677D"/>
    <w:rsid w:val="00C17BCE"/>
    <w:rsid w:val="00C22564"/>
    <w:rsid w:val="00C25F8E"/>
    <w:rsid w:val="00C30186"/>
    <w:rsid w:val="00C3238A"/>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937B8"/>
    <w:rsid w:val="00C938E9"/>
    <w:rsid w:val="00C95FAA"/>
    <w:rsid w:val="00C96DBB"/>
    <w:rsid w:val="00C96E8D"/>
    <w:rsid w:val="00CA02ED"/>
    <w:rsid w:val="00CA0917"/>
    <w:rsid w:val="00CA0DA5"/>
    <w:rsid w:val="00CA18BF"/>
    <w:rsid w:val="00CA1E03"/>
    <w:rsid w:val="00CA2C0B"/>
    <w:rsid w:val="00CA3D0C"/>
    <w:rsid w:val="00CA59BE"/>
    <w:rsid w:val="00CA6F4C"/>
    <w:rsid w:val="00CA753E"/>
    <w:rsid w:val="00CA7C84"/>
    <w:rsid w:val="00CB1769"/>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D27"/>
    <w:rsid w:val="00D2263F"/>
    <w:rsid w:val="00D229D4"/>
    <w:rsid w:val="00D23C6C"/>
    <w:rsid w:val="00D30D41"/>
    <w:rsid w:val="00D313EF"/>
    <w:rsid w:val="00D316E4"/>
    <w:rsid w:val="00D32E0F"/>
    <w:rsid w:val="00D334AB"/>
    <w:rsid w:val="00D337BB"/>
    <w:rsid w:val="00D34147"/>
    <w:rsid w:val="00D34B44"/>
    <w:rsid w:val="00D36592"/>
    <w:rsid w:val="00D417CD"/>
    <w:rsid w:val="00D46851"/>
    <w:rsid w:val="00D47AA0"/>
    <w:rsid w:val="00D509BB"/>
    <w:rsid w:val="00D515CE"/>
    <w:rsid w:val="00D53116"/>
    <w:rsid w:val="00D537F6"/>
    <w:rsid w:val="00D55066"/>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42E8"/>
    <w:rsid w:val="00DF60DB"/>
    <w:rsid w:val="00E008E9"/>
    <w:rsid w:val="00E00CEF"/>
    <w:rsid w:val="00E019DD"/>
    <w:rsid w:val="00E02877"/>
    <w:rsid w:val="00E048B4"/>
    <w:rsid w:val="00E05545"/>
    <w:rsid w:val="00E05FB9"/>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C2119"/>
    <w:rsid w:val="00EC23FA"/>
    <w:rsid w:val="00EC263E"/>
    <w:rsid w:val="00EC3973"/>
    <w:rsid w:val="00EC4A25"/>
    <w:rsid w:val="00EC51F2"/>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D3586"/>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D3CBB322-34FA-4A90-AF81-FD8B73CE0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108</TotalTime>
  <Pages>2</Pages>
  <Words>899</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Selective DL PDCP duplication for URLLC</vt:lpstr>
    </vt:vector>
  </TitlesOfParts>
  <Company>Nokia, Nokia Shanghai Bell</Company>
  <LinksUpToDate>false</LinksUpToDate>
  <CharactersWithSpaces>6283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the Conditional HO in LTE</dc:title>
  <dc:subject>3GPP RAN3 #104</dc:subject>
  <dc:creator>Benoist Sébire</dc:creator>
  <cp:keywords>&lt;keyword[, keyword, ]&gt;</cp:keywords>
  <dc:description/>
  <cp:lastModifiedBy>Nokia</cp:lastModifiedBy>
  <cp:revision>40</cp:revision>
  <cp:lastPrinted>2019-03-27T07:16:00Z</cp:lastPrinted>
  <dcterms:created xsi:type="dcterms:W3CDTF">2019-03-29T13:42:00Z</dcterms:created>
  <dcterms:modified xsi:type="dcterms:W3CDTF">2019-05-02T10:48:00Z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